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69907" w14:textId="6544B2C9" w:rsidR="006123C1" w:rsidRPr="002A04FF" w:rsidRDefault="002F6A59">
      <w:pPr>
        <w:pStyle w:val="CRCoverPage"/>
        <w:tabs>
          <w:tab w:val="right" w:pos="9639"/>
        </w:tabs>
        <w:spacing w:after="0"/>
        <w:rPr>
          <w:b/>
          <w:sz w:val="28"/>
          <w:lang w:val="sv-SE"/>
        </w:rPr>
      </w:pPr>
      <w:r w:rsidRPr="002A04FF">
        <w:rPr>
          <w:b/>
          <w:sz w:val="24"/>
          <w:lang w:val="sv-SE"/>
        </w:rPr>
        <w:t xml:space="preserve">3GPP </w:t>
      </w:r>
      <w:r w:rsidR="005156DF" w:rsidRPr="002A04FF">
        <w:rPr>
          <w:b/>
          <w:sz w:val="24"/>
          <w:lang w:val="sv-SE"/>
        </w:rPr>
        <w:t>S</w:t>
      </w:r>
      <w:r w:rsidRPr="002A04FF">
        <w:rPr>
          <w:b/>
          <w:sz w:val="24"/>
          <w:lang w:val="sv-SE"/>
        </w:rPr>
        <w:t>A</w:t>
      </w:r>
      <w:r w:rsidR="005156DF" w:rsidRPr="002A04FF">
        <w:rPr>
          <w:b/>
          <w:sz w:val="24"/>
          <w:lang w:val="sv-SE"/>
        </w:rPr>
        <w:t>1</w:t>
      </w:r>
      <w:r w:rsidRPr="002A04FF">
        <w:rPr>
          <w:b/>
          <w:sz w:val="24"/>
          <w:lang w:val="sv-SE"/>
        </w:rPr>
        <w:t xml:space="preserve"> Meeting #10</w:t>
      </w:r>
      <w:r w:rsidR="005156DF" w:rsidRPr="002A04FF">
        <w:rPr>
          <w:b/>
          <w:sz w:val="24"/>
          <w:lang w:val="sv-SE"/>
        </w:rPr>
        <w:t>7</w:t>
      </w:r>
      <w:r w:rsidRPr="002A04FF">
        <w:rPr>
          <w:b/>
          <w:sz w:val="24"/>
          <w:lang w:val="sv-SE"/>
        </w:rPr>
        <w:t xml:space="preserve"> </w:t>
      </w:r>
      <w:r w:rsidRPr="002A04FF">
        <w:rPr>
          <w:b/>
          <w:sz w:val="28"/>
          <w:lang w:val="sv-SE"/>
        </w:rPr>
        <w:tab/>
        <w:t>S</w:t>
      </w:r>
      <w:r w:rsidR="00E17674" w:rsidRPr="002A04FF">
        <w:rPr>
          <w:b/>
          <w:sz w:val="28"/>
          <w:lang w:val="sv-SE"/>
        </w:rPr>
        <w:t>1</w:t>
      </w:r>
      <w:r w:rsidRPr="002A04FF">
        <w:rPr>
          <w:b/>
          <w:sz w:val="28"/>
          <w:lang w:val="sv-SE"/>
        </w:rPr>
        <w:t>-</w:t>
      </w:r>
      <w:r w:rsidR="00A212CE" w:rsidRPr="002A04FF">
        <w:rPr>
          <w:b/>
          <w:sz w:val="28"/>
          <w:lang w:val="sv-SE"/>
        </w:rPr>
        <w:t>24</w:t>
      </w:r>
      <w:r w:rsidR="00E17674" w:rsidRPr="002A04FF">
        <w:rPr>
          <w:b/>
          <w:sz w:val="28"/>
          <w:lang w:val="sv-SE"/>
        </w:rPr>
        <w:t>2193</w:t>
      </w:r>
    </w:p>
    <w:p w14:paraId="3AB97C0F" w14:textId="3AF8C4EC" w:rsidR="006123C1" w:rsidRDefault="005156DF">
      <w:pPr>
        <w:pStyle w:val="CRCoverPage"/>
        <w:outlineLvl w:val="0"/>
        <w:rPr>
          <w:rFonts w:eastAsia="Batang" w:cs="Arial"/>
          <w:lang w:eastAsia="zh-CN"/>
        </w:rPr>
      </w:pPr>
      <w:r w:rsidRPr="00DB3AB3">
        <w:rPr>
          <w:rFonts w:cs="Arial"/>
          <w:b/>
          <w:bCs/>
          <w:sz w:val="24"/>
          <w:szCs w:val="24"/>
        </w:rPr>
        <w:t>Maastricht, NL, 19-23 Aug., 2024</w:t>
      </w:r>
      <w:r w:rsidR="002F6A59">
        <w:rPr>
          <w:sz w:val="24"/>
        </w:rPr>
        <w:tab/>
      </w:r>
      <w:r w:rsidR="002F6A59">
        <w:rPr>
          <w:sz w:val="24"/>
        </w:rPr>
        <w:tab/>
      </w:r>
      <w:r w:rsidR="002F6A59">
        <w:rPr>
          <w:sz w:val="24"/>
        </w:rPr>
        <w:tab/>
        <w:t xml:space="preserve">                  </w:t>
      </w:r>
      <w:r w:rsidR="002F6A59">
        <w:rPr>
          <w:sz w:val="24"/>
        </w:rPr>
        <w:tab/>
      </w:r>
    </w:p>
    <w:p w14:paraId="78D90F1B" w14:textId="77777777" w:rsidR="006123C1" w:rsidRDefault="006123C1">
      <w:pPr>
        <w:pStyle w:val="CRCoverPage"/>
        <w:outlineLvl w:val="0"/>
        <w:rPr>
          <w:b/>
          <w:bCs/>
          <w:sz w:val="24"/>
        </w:rPr>
      </w:pPr>
    </w:p>
    <w:p w14:paraId="3A257FD6" w14:textId="163D9EF6"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sidR="0088127D">
        <w:rPr>
          <w:rFonts w:ascii="Arial" w:hAnsi="Arial" w:cs="Arial"/>
          <w:b/>
          <w:sz w:val="22"/>
          <w:szCs w:val="22"/>
        </w:rPr>
        <w:t xml:space="preserve">Reply to </w:t>
      </w:r>
      <w:r>
        <w:rPr>
          <w:rFonts w:ascii="Arial" w:hAnsi="Arial" w:cs="Arial"/>
          <w:b/>
          <w:bCs/>
          <w:sz w:val="22"/>
          <w:szCs w:val="22"/>
        </w:rPr>
        <w:t xml:space="preserve">LS on Support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88127D">
        <w:rPr>
          <w:rFonts w:ascii="Arial" w:hAnsi="Arial" w:cs="Arial"/>
          <w:b/>
          <w:bCs/>
          <w:sz w:val="22"/>
          <w:szCs w:val="22"/>
          <w:lang w:val="sv-SE"/>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6B252F6D" w14:textId="6BC7CFFD" w:rsidR="006123C1" w:rsidRPr="00FA7A5F" w:rsidRDefault="00AB1BB9" w:rsidP="00FA7A5F">
      <w:pPr>
        <w:jc w:val="both"/>
        <w:rPr>
          <w:color w:val="000000" w:themeColor="text1"/>
          <w:lang w:eastAsia="zh-CN"/>
        </w:rPr>
      </w:pPr>
      <w:r>
        <w:rPr>
          <w:color w:val="000000" w:themeColor="text1"/>
          <w:lang w:eastAsia="zh-CN"/>
        </w:rPr>
        <w:t xml:space="preserve">In SA#104, </w:t>
      </w:r>
      <w:r w:rsidRPr="00EF7B86">
        <w:rPr>
          <w:color w:val="000000" w:themeColor="text1"/>
          <w:lang w:eastAsia="zh-CN"/>
        </w:rPr>
        <w:t>SA3 Status Report</w:t>
      </w:r>
      <w:r>
        <w:rPr>
          <w:color w:val="000000" w:themeColor="text1"/>
          <w:lang w:eastAsia="zh-CN"/>
        </w:rPr>
        <w:t>, reported on contentions issues regarding a</w:t>
      </w:r>
      <w:r w:rsidRPr="001A02CD">
        <w:rPr>
          <w:color w:val="000000" w:themeColor="text1"/>
          <w:lang w:eastAsia="zh-CN"/>
        </w:rPr>
        <w:t xml:space="preserve">uthentication requirements </w:t>
      </w:r>
      <w:r>
        <w:rPr>
          <w:color w:val="000000" w:themeColor="text1"/>
          <w:lang w:eastAsia="zh-CN"/>
        </w:rPr>
        <w:t xml:space="preserve">and communication security requirements in the </w:t>
      </w:r>
      <w:r w:rsidRPr="001A02CD">
        <w:rPr>
          <w:color w:val="000000" w:themeColor="text1"/>
          <w:lang w:eastAsia="zh-CN"/>
        </w:rPr>
        <w:t>Ambient IoT Service</w:t>
      </w:r>
      <w:r>
        <w:rPr>
          <w:color w:val="000000" w:themeColor="text1"/>
          <w:lang w:eastAsia="zh-CN"/>
        </w:rPr>
        <w:t xml:space="preserve"> Study as well as the risk this create regarding follow on development of security solutions for A-IoT.</w:t>
      </w:r>
    </w:p>
    <w:p w14:paraId="6F8AE95D" w14:textId="708EE23C" w:rsidR="006123C1" w:rsidRPr="00FA7A5F" w:rsidRDefault="002F6A59" w:rsidP="00FA7A5F">
      <w:pPr>
        <w:pStyle w:val="afffe"/>
        <w:ind w:left="20"/>
        <w:jc w:val="both"/>
        <w:rPr>
          <w:color w:val="000000" w:themeColor="text1"/>
          <w:lang w:eastAsia="zh-CN"/>
        </w:rPr>
      </w:pPr>
      <w:r>
        <w:rPr>
          <w:color w:val="000000" w:themeColor="text1"/>
          <w:lang w:eastAsia="zh-CN"/>
        </w:rPr>
        <w:t xml:space="preserve">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w:t>
      </w:r>
      <w:proofErr w:type="gramStart"/>
      <w:r>
        <w:rPr>
          <w:color w:val="000000" w:themeColor="text1"/>
          <w:lang w:eastAsia="zh-CN"/>
        </w:rPr>
        <w:t>ownership,  etc.</w:t>
      </w:r>
      <w:proofErr w:type="gramEnd"/>
      <w:r>
        <w:rPr>
          <w:color w:val="000000" w:themeColor="text1"/>
          <w:lang w:eastAsia="zh-CN"/>
        </w:rPr>
        <w:t>) for Ambient IoT Services and devices for the SA3 discussion.</w:t>
      </w:r>
    </w:p>
    <w:p w14:paraId="24AC26A7" w14:textId="34A1C0AD" w:rsidR="00AB1BB9" w:rsidRDefault="00AB1BB9" w:rsidP="00AB1BB9">
      <w:pPr>
        <w:jc w:val="both"/>
        <w:rPr>
          <w:color w:val="000000" w:themeColor="text1"/>
          <w:lang w:eastAsia="zh-CN"/>
        </w:rPr>
      </w:pPr>
      <w:r>
        <w:rPr>
          <w:color w:val="000000" w:themeColor="text1"/>
          <w:lang w:eastAsia="zh-CN"/>
        </w:rPr>
        <w:t xml:space="preserve">One of the controversial discussions in SA3 is regarding the </w:t>
      </w:r>
      <w:r w:rsidR="00ED684E">
        <w:rPr>
          <w:color w:val="000000" w:themeColor="text1"/>
          <w:lang w:eastAsia="zh-CN"/>
        </w:rPr>
        <w:t xml:space="preserve">requirements of secure storage, tamper resistance of credentials for </w:t>
      </w:r>
      <w:r>
        <w:rPr>
          <w:color w:val="000000" w:themeColor="text1"/>
          <w:lang w:eastAsia="zh-CN"/>
        </w:rPr>
        <w:t xml:space="preserve">access security </w:t>
      </w:r>
      <w:r w:rsidR="005332D7">
        <w:rPr>
          <w:rFonts w:hint="eastAsia"/>
          <w:color w:val="000000" w:themeColor="text1"/>
          <w:lang w:eastAsia="zh-CN"/>
        </w:rPr>
        <w:t>with</w:t>
      </w:r>
      <w:r>
        <w:rPr>
          <w:color w:val="000000" w:themeColor="text1"/>
          <w:lang w:eastAsia="zh-CN"/>
        </w:rPr>
        <w:t xml:space="preserve"> the </w:t>
      </w:r>
      <w:r w:rsidR="00ED684E">
        <w:rPr>
          <w:color w:val="000000" w:themeColor="text1"/>
          <w:lang w:eastAsia="zh-CN"/>
        </w:rPr>
        <w:t>use</w:t>
      </w:r>
      <w:r>
        <w:rPr>
          <w:color w:val="000000" w:themeColor="text1"/>
          <w:lang w:eastAsia="zh-CN"/>
        </w:rPr>
        <w:t xml:space="preserve"> of </w:t>
      </w:r>
      <w:r w:rsidR="00ED684E">
        <w:rPr>
          <w:color w:val="000000" w:themeColor="text1"/>
          <w:lang w:eastAsia="zh-CN"/>
        </w:rPr>
        <w:t>USIM on</w:t>
      </w:r>
      <w:r>
        <w:rPr>
          <w:color w:val="000000" w:themeColor="text1"/>
          <w:lang w:eastAsia="zh-CN"/>
        </w:rPr>
        <w:t xml:space="preserve"> UICC with regards to the limited capabilities of A-IoT devices. </w:t>
      </w:r>
    </w:p>
    <w:p w14:paraId="7B53987A" w14:textId="511F5D82" w:rsidR="00AB1BB9" w:rsidRDefault="00AB1BB9" w:rsidP="00AB1BB9">
      <w:pPr>
        <w:jc w:val="both"/>
        <w:rPr>
          <w:color w:val="000000" w:themeColor="text1"/>
          <w:lang w:eastAsia="zh-CN"/>
        </w:rPr>
      </w:pPr>
      <w:r>
        <w:rPr>
          <w:color w:val="000000" w:themeColor="text1"/>
          <w:lang w:eastAsia="zh-CN"/>
        </w:rPr>
        <w:t>In an effort to find progress and resolving controversial issues, TSG SA would like to ask SA1 to provide further guidance and clarification regarding stage 1 requirement for A-IoT</w:t>
      </w:r>
      <w:r w:rsidR="00E85528">
        <w:rPr>
          <w:color w:val="000000" w:themeColor="text1"/>
          <w:lang w:eastAsia="zh-CN"/>
        </w:rPr>
        <w:t xml:space="preserve">, </w:t>
      </w:r>
      <w:r w:rsidR="00E85528">
        <w:rPr>
          <w:rFonts w:eastAsia="Batang"/>
          <w:color w:val="000000" w:themeColor="text1"/>
          <w:lang w:eastAsia="ko-KR"/>
        </w:rPr>
        <w:t>taking aspects such as the business models and scope of the lifecycle management into account</w:t>
      </w:r>
      <w:r>
        <w:rPr>
          <w:color w:val="000000" w:themeColor="text1"/>
          <w:lang w:eastAsia="zh-CN"/>
        </w:rPr>
        <w:t xml:space="preserve">. </w:t>
      </w:r>
    </w:p>
    <w:p w14:paraId="1711A506" w14:textId="77777777" w:rsidR="00AB1BB9" w:rsidRDefault="00AB1BB9">
      <w:pPr>
        <w:pStyle w:val="afffe"/>
        <w:ind w:left="20"/>
        <w:jc w:val="both"/>
        <w:rPr>
          <w:color w:val="000000" w:themeColor="text1"/>
          <w:lang w:eastAsia="zh-CN"/>
        </w:rPr>
      </w:pPr>
    </w:p>
    <w:p w14:paraId="3F278F85" w14:textId="50D14ECE" w:rsidR="006123C1" w:rsidRDefault="006123C1">
      <w:pPr>
        <w:pStyle w:val="afffe"/>
        <w:ind w:left="20"/>
        <w:jc w:val="both"/>
        <w:rPr>
          <w:color w:val="000000" w:themeColor="text1"/>
          <w:lang w:eastAsia="zh-CN"/>
        </w:rPr>
      </w:pPr>
    </w:p>
    <w:p w14:paraId="6BB9A92C" w14:textId="77777777" w:rsidR="006123C1" w:rsidRDefault="002F6A59">
      <w:pPr>
        <w:pStyle w:val="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7FBDC369"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aspects such as </w:t>
      </w:r>
      <w:r>
        <w:rPr>
          <w:rFonts w:eastAsia="Batang"/>
          <w:color w:val="000000" w:themeColor="text1"/>
          <w:lang w:eastAsia="ko-KR"/>
        </w:rPr>
        <w:t>the business models and scope of the lifecycle management</w:t>
      </w:r>
      <w:r w:rsidR="00C24C26">
        <w:rPr>
          <w:rFonts w:eastAsia="Batang"/>
          <w:color w:val="000000" w:themeColor="text1"/>
          <w:lang w:eastAsia="ko-KR"/>
        </w:rPr>
        <w:t xml:space="preserve"> into account</w:t>
      </w:r>
      <w:r>
        <w:rPr>
          <w:rFonts w:eastAsia="Batang"/>
          <w:color w:val="000000" w:themeColor="text1"/>
          <w:lang w:eastAsia="ko-KR"/>
        </w:rPr>
        <w:t>.</w:t>
      </w:r>
    </w:p>
    <w:p w14:paraId="1577B276" w14:textId="20DFD977" w:rsidR="006123C1" w:rsidRPr="00F244A0" w:rsidRDefault="00F244A0" w:rsidP="00F244A0">
      <w:pPr>
        <w:jc w:val="both"/>
        <w:rPr>
          <w:b/>
          <w:color w:val="4472C4" w:themeColor="accent1"/>
          <w:lang w:eastAsia="zh-CN"/>
        </w:rPr>
      </w:pPr>
      <w:r w:rsidRPr="00F244A0">
        <w:rPr>
          <w:rFonts w:hint="eastAsia"/>
          <w:b/>
          <w:color w:val="4472C4" w:themeColor="accent1"/>
          <w:lang w:eastAsia="zh-CN"/>
        </w:rPr>
        <w:t>S</w:t>
      </w:r>
      <w:r w:rsidRPr="00F244A0">
        <w:rPr>
          <w:b/>
          <w:color w:val="4472C4" w:themeColor="accent1"/>
          <w:lang w:eastAsia="zh-CN"/>
        </w:rPr>
        <w:t xml:space="preserve">A1 response </w:t>
      </w:r>
    </w:p>
    <w:p w14:paraId="2D00A054" w14:textId="1E0EB951" w:rsidR="0088127D" w:rsidRDefault="0088127D" w:rsidP="00F244A0">
      <w:pPr>
        <w:jc w:val="both"/>
        <w:rPr>
          <w:color w:val="4472C4" w:themeColor="accent1"/>
          <w:lang w:eastAsia="zh-CN"/>
        </w:rPr>
      </w:pPr>
      <w:r>
        <w:rPr>
          <w:color w:val="4472C4" w:themeColor="accent1"/>
          <w:lang w:eastAsia="zh-CN"/>
        </w:rPr>
        <w:t xml:space="preserve">Regarding to the business mode, </w:t>
      </w:r>
    </w:p>
    <w:p w14:paraId="0D89965F" w14:textId="5CF79197" w:rsidR="0088127D" w:rsidRDefault="0088127D" w:rsidP="0088127D">
      <w:pPr>
        <w:ind w:left="720" w:rightChars="466" w:right="932"/>
        <w:jc w:val="both"/>
        <w:rPr>
          <w:color w:val="4472C4" w:themeColor="accent1"/>
          <w:lang w:eastAsia="zh-CN"/>
        </w:rPr>
      </w:pPr>
      <w:r>
        <w:rPr>
          <w:color w:val="4472C4" w:themeColor="accent1"/>
          <w:lang w:eastAsia="zh-CN"/>
        </w:rPr>
        <w:t xml:space="preserve">-  </w:t>
      </w:r>
      <w:r w:rsidR="002A04FF">
        <w:rPr>
          <w:color w:val="4472C4" w:themeColor="accent1"/>
          <w:lang w:eastAsia="zh-CN"/>
        </w:rPr>
        <w:t xml:space="preserve">Corresponding to </w:t>
      </w:r>
      <w:r w:rsidR="002A04FF">
        <w:rPr>
          <w:color w:val="4472C4" w:themeColor="accent1"/>
          <w:lang w:eastAsia="zh-CN"/>
        </w:rPr>
        <w:t>t</w:t>
      </w:r>
      <w:r>
        <w:rPr>
          <w:color w:val="4472C4" w:themeColor="accent1"/>
          <w:lang w:eastAsia="zh-CN"/>
        </w:rPr>
        <w:t xml:space="preserve">he </w:t>
      </w:r>
      <w:r w:rsidR="00402E6D">
        <w:rPr>
          <w:color w:val="4472C4" w:themeColor="accent1"/>
          <w:lang w:eastAsia="zh-CN"/>
        </w:rPr>
        <w:t>Ambient IoT Direct Network Communication</w:t>
      </w:r>
      <w:r w:rsidR="002A04FF">
        <w:rPr>
          <w:color w:val="4472C4" w:themeColor="accent1"/>
          <w:lang w:eastAsia="zh-CN"/>
        </w:rPr>
        <w:t xml:space="preserve"> and</w:t>
      </w:r>
      <w:r w:rsidR="00402E6D">
        <w:rPr>
          <w:color w:val="4472C4" w:themeColor="accent1"/>
          <w:lang w:eastAsia="zh-CN"/>
        </w:rPr>
        <w:t xml:space="preserve"> Ambient IoT Indirect Network communication</w:t>
      </w:r>
      <w:r w:rsidR="002A04FF">
        <w:rPr>
          <w:color w:val="4472C4" w:themeColor="accent1"/>
          <w:lang w:eastAsia="zh-CN"/>
        </w:rPr>
        <w:t xml:space="preserve"> mode described in TS22.369,</w:t>
      </w:r>
      <w:r>
        <w:rPr>
          <w:color w:val="4472C4" w:themeColor="accent1"/>
          <w:lang w:eastAsia="zh-CN"/>
        </w:rPr>
        <w:t xml:space="preserve"> </w:t>
      </w:r>
      <w:r w:rsidR="002A04FF">
        <w:rPr>
          <w:color w:val="4472C4" w:themeColor="accent1"/>
          <w:lang w:eastAsia="zh-CN"/>
        </w:rPr>
        <w:t xml:space="preserve">it </w:t>
      </w:r>
      <w:r>
        <w:rPr>
          <w:color w:val="4472C4" w:themeColor="accent1"/>
          <w:lang w:eastAsia="zh-CN"/>
        </w:rPr>
        <w:t>require</w:t>
      </w:r>
      <w:r w:rsidR="002A04FF">
        <w:rPr>
          <w:color w:val="4472C4" w:themeColor="accent1"/>
          <w:lang w:eastAsia="zh-CN"/>
        </w:rPr>
        <w:t>s</w:t>
      </w:r>
      <w:r>
        <w:rPr>
          <w:color w:val="4472C4" w:themeColor="accent1"/>
          <w:lang w:eastAsia="zh-CN"/>
        </w:rPr>
        <w:t xml:space="preserve"> a 3GPP network entity such as core network entity to communicate and collect the data</w:t>
      </w:r>
      <w:r w:rsidRPr="0088127D">
        <w:rPr>
          <w:color w:val="4472C4" w:themeColor="accent1"/>
          <w:lang w:eastAsia="zh-CN"/>
        </w:rPr>
        <w:t xml:space="preserve"> </w:t>
      </w:r>
      <w:r>
        <w:rPr>
          <w:color w:val="4472C4" w:themeColor="accent1"/>
          <w:lang w:eastAsia="zh-CN"/>
        </w:rPr>
        <w:t>from an Ambient IoT device, and the network entity can provide the collected data to an authorized third</w:t>
      </w:r>
      <w:r w:rsidR="005C39F7">
        <w:rPr>
          <w:color w:val="4472C4" w:themeColor="accent1"/>
          <w:lang w:eastAsia="zh-CN"/>
        </w:rPr>
        <w:t>-</w:t>
      </w:r>
      <w:r>
        <w:rPr>
          <w:color w:val="4472C4" w:themeColor="accent1"/>
          <w:lang w:eastAsia="zh-CN"/>
        </w:rPr>
        <w:t>party;</w:t>
      </w:r>
    </w:p>
    <w:p w14:paraId="0D2DD2EB" w14:textId="0A484D93" w:rsidR="00FB1973" w:rsidRPr="00F244A0" w:rsidRDefault="0088127D" w:rsidP="0088127D">
      <w:pPr>
        <w:ind w:left="720" w:rightChars="466" w:right="932"/>
        <w:jc w:val="both"/>
        <w:rPr>
          <w:noProof/>
          <w:color w:val="4472C4" w:themeColor="accent1"/>
        </w:rPr>
      </w:pPr>
      <w:r>
        <w:rPr>
          <w:color w:val="4472C4" w:themeColor="accent1"/>
          <w:lang w:eastAsia="zh-CN"/>
        </w:rPr>
        <w:lastRenderedPageBreak/>
        <w:t xml:space="preserve">- </w:t>
      </w:r>
      <w:r w:rsidR="002A04FF">
        <w:rPr>
          <w:color w:val="4472C4" w:themeColor="accent1"/>
          <w:lang w:eastAsia="zh-CN"/>
        </w:rPr>
        <w:t xml:space="preserve"> Corresponding to the </w:t>
      </w:r>
      <w:r w:rsidR="002A04FF">
        <w:rPr>
          <w:color w:val="4472C4" w:themeColor="accent1"/>
          <w:lang w:eastAsia="zh-CN"/>
        </w:rPr>
        <w:t>Ambient IoT Device to UE Direct Communication</w:t>
      </w:r>
      <w:r w:rsidR="002A04FF">
        <w:rPr>
          <w:color w:val="4472C4" w:themeColor="accent1"/>
          <w:lang w:eastAsia="zh-CN"/>
        </w:rPr>
        <w:t xml:space="preserve"> mode described in TS 22.369,</w:t>
      </w:r>
      <w:r>
        <w:rPr>
          <w:color w:val="4472C4" w:themeColor="accent1"/>
          <w:lang w:eastAsia="zh-CN"/>
        </w:rPr>
        <w:t xml:space="preserve"> </w:t>
      </w:r>
      <w:r w:rsidR="002A04FF">
        <w:rPr>
          <w:color w:val="4472C4" w:themeColor="accent1"/>
          <w:lang w:eastAsia="zh-CN"/>
        </w:rPr>
        <w:t>it</w:t>
      </w:r>
      <w:r>
        <w:rPr>
          <w:color w:val="4472C4" w:themeColor="accent1"/>
          <w:lang w:eastAsia="zh-CN"/>
        </w:rPr>
        <w:t xml:space="preserve"> requires a UE with authorized </w:t>
      </w:r>
      <w:r w:rsidR="005C39F7">
        <w:rPr>
          <w:color w:val="4472C4" w:themeColor="accent1"/>
          <w:lang w:eastAsia="zh-CN"/>
        </w:rPr>
        <w:t>third-party</w:t>
      </w:r>
      <w:r>
        <w:rPr>
          <w:color w:val="4472C4" w:themeColor="accent1"/>
          <w:lang w:eastAsia="zh-CN"/>
        </w:rPr>
        <w:t xml:space="preserve"> application to communicate and collect data from an Ambient IoT device.</w:t>
      </w:r>
    </w:p>
    <w:p w14:paraId="4671F1C9" w14:textId="1C558B2E" w:rsidR="005C39F7" w:rsidRPr="00F244A0" w:rsidRDefault="00FB1973" w:rsidP="00FB1973">
      <w:pPr>
        <w:jc w:val="both"/>
        <w:rPr>
          <w:color w:val="4472C4" w:themeColor="accent1"/>
        </w:rPr>
      </w:pPr>
      <w:r w:rsidRPr="00F244A0">
        <w:rPr>
          <w:color w:val="4472C4" w:themeColor="accent1"/>
          <w:lang w:eastAsia="zh-CN"/>
        </w:rPr>
        <w:t xml:space="preserve">Regarding the life cycle management of Ambient IoT, </w:t>
      </w:r>
      <w:r w:rsidRPr="00F244A0">
        <w:rPr>
          <w:color w:val="4472C4" w:themeColor="accent1"/>
        </w:rPr>
        <w:t>Ambient IoT devices can be maintenance free and can have long life span (e.g. more than 10 years). However, the life span of an Ambient IoT device can also be relatively short, e.g. when tracking a package through a logistics chain.</w:t>
      </w:r>
    </w:p>
    <w:p w14:paraId="05A77FDE" w14:textId="77777777" w:rsidR="007A5B73" w:rsidRDefault="007A5B73">
      <w:pPr>
        <w:spacing w:after="120"/>
        <w:ind w:left="993" w:hanging="993"/>
        <w:rPr>
          <w:rFonts w:ascii="Arial" w:eastAsia="Batang" w:hAnsi="Arial" w:cs="Arial"/>
          <w:b/>
          <w:bCs/>
          <w:color w:val="000000" w:themeColor="text1"/>
          <w:lang w:eastAsia="ko-KR"/>
        </w:rPr>
      </w:pPr>
    </w:p>
    <w:p w14:paraId="2C061D94" w14:textId="48497D82"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To </w:t>
      </w:r>
      <w:r w:rsidR="002A04FF">
        <w:rPr>
          <w:rFonts w:ascii="Arial" w:eastAsia="Batang" w:hAnsi="Arial" w:cs="Arial"/>
          <w:b/>
          <w:bCs/>
          <w:color w:val="000000" w:themeColor="text1"/>
          <w:lang w:eastAsia="ko-KR"/>
        </w:rPr>
        <w:t xml:space="preserve">SA, </w:t>
      </w:r>
      <w:r>
        <w:rPr>
          <w:rFonts w:ascii="Arial" w:eastAsia="Batang" w:hAnsi="Arial" w:cs="Arial"/>
          <w:b/>
          <w:bCs/>
          <w:color w:val="000000" w:themeColor="text1"/>
          <w:lang w:eastAsia="ko-KR"/>
        </w:rPr>
        <w:t>SA3</w:t>
      </w:r>
    </w:p>
    <w:p w14:paraId="01A97FE6" w14:textId="5C48729E"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2A04FF">
        <w:rPr>
          <w:rFonts w:eastAsia="Batang"/>
          <w:color w:val="000000" w:themeColor="text1"/>
          <w:lang w:eastAsia="ko-KR"/>
        </w:rPr>
        <w:t>SA1</w:t>
      </w:r>
      <w:r>
        <w:rPr>
          <w:rFonts w:eastAsia="Batang"/>
          <w:color w:val="000000" w:themeColor="text1"/>
          <w:lang w:eastAsia="ko-KR"/>
        </w:rPr>
        <w:t xml:space="preserve"> kindly asks </w:t>
      </w:r>
      <w:r w:rsidR="002A04FF">
        <w:rPr>
          <w:rFonts w:eastAsia="Batang"/>
          <w:color w:val="000000" w:themeColor="text1"/>
          <w:lang w:eastAsia="ko-KR"/>
        </w:rPr>
        <w:t>SA</w:t>
      </w:r>
      <w:r w:rsidR="000F71DC">
        <w:rPr>
          <w:rFonts w:eastAsia="Batang"/>
          <w:color w:val="000000" w:themeColor="text1"/>
          <w:lang w:eastAsia="ko-KR"/>
        </w:rPr>
        <w:t>, SA3</w:t>
      </w:r>
      <w:r w:rsidR="002A04FF">
        <w:rPr>
          <w:rFonts w:eastAsia="Batang"/>
          <w:color w:val="000000" w:themeColor="text1"/>
          <w:lang w:eastAsia="ko-KR"/>
        </w:rPr>
        <w:t xml:space="preserve"> </w:t>
      </w:r>
      <w:r w:rsidRPr="00AB1BB9">
        <w:rPr>
          <w:rFonts w:eastAsia="Batang"/>
          <w:color w:val="000000" w:themeColor="text1"/>
          <w:lang w:eastAsia="ko-KR"/>
        </w:rPr>
        <w:t>to</w:t>
      </w:r>
      <w:r w:rsidR="000F71DC">
        <w:rPr>
          <w:rFonts w:eastAsia="Batang"/>
          <w:color w:val="000000" w:themeColor="text1"/>
          <w:lang w:eastAsia="ko-KR"/>
        </w:rPr>
        <w:t xml:space="preserve"> take the above information into account.</w:t>
      </w:r>
      <w:bookmarkStart w:id="7" w:name="_GoBack"/>
      <w:bookmarkEnd w:id="7"/>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E940708" w:rsidR="006123C1" w:rsidRDefault="002F6A59">
      <w:r>
        <w:t>SA</w:t>
      </w:r>
      <w:r w:rsidR="002A04FF">
        <w:t>1</w:t>
      </w:r>
      <w:r>
        <w:t>#10</w:t>
      </w:r>
      <w:r w:rsidR="002A04FF">
        <w:t>8</w:t>
      </w:r>
      <w:r>
        <w:t xml:space="preserve"> </w:t>
      </w:r>
      <w:r>
        <w:tab/>
      </w:r>
      <w:r>
        <w:tab/>
      </w:r>
      <w:r w:rsidR="002A04FF">
        <w:t>November</w:t>
      </w:r>
      <w:r>
        <w:t xml:space="preserve"> 1</w:t>
      </w:r>
      <w:r w:rsidR="002A04FF">
        <w:t>8</w:t>
      </w:r>
      <w:r>
        <w:t xml:space="preserve">th – </w:t>
      </w:r>
      <w:r w:rsidR="002A04FF">
        <w:t>22</w:t>
      </w:r>
      <w:r>
        <w:t xml:space="preserve">th </w:t>
      </w:r>
      <w:proofErr w:type="gramStart"/>
      <w:r>
        <w:t xml:space="preserve">2024  </w:t>
      </w:r>
      <w:r w:rsidR="002A04FF">
        <w:tab/>
      </w:r>
      <w:proofErr w:type="gramEnd"/>
      <w:r w:rsidR="002A04FF">
        <w:t>Orlando</w:t>
      </w:r>
      <w:r>
        <w:t xml:space="preserve">, </w:t>
      </w:r>
      <w:r w:rsidR="002A04FF">
        <w:t>US</w:t>
      </w:r>
    </w:p>
    <w:p w14:paraId="596DEB2B" w14:textId="7B74C8BB" w:rsidR="006123C1" w:rsidRDefault="002F6A59">
      <w:r>
        <w:t>SA</w:t>
      </w:r>
      <w:r w:rsidR="002A04FF">
        <w:t>1</w:t>
      </w:r>
      <w:r>
        <w:t>#10</w:t>
      </w:r>
      <w:r w:rsidR="002A04FF">
        <w:t>9</w:t>
      </w:r>
      <w:r>
        <w:tab/>
      </w:r>
      <w:r>
        <w:tab/>
      </w:r>
      <w:r w:rsidR="002A04FF">
        <w:t>February</w:t>
      </w:r>
      <w:r>
        <w:t xml:space="preserve"> 1</w:t>
      </w:r>
      <w:r w:rsidR="002A04FF">
        <w:t>7</w:t>
      </w:r>
      <w:r>
        <w:t xml:space="preserve">th – </w:t>
      </w:r>
      <w:r w:rsidR="002A04FF">
        <w:t>21</w:t>
      </w:r>
      <w:r>
        <w:t xml:space="preserve">th </w:t>
      </w:r>
      <w:proofErr w:type="gramStart"/>
      <w:r>
        <w:t>202</w:t>
      </w:r>
      <w:r w:rsidR="002A04FF">
        <w:t>5</w:t>
      </w:r>
      <w:r>
        <w:t xml:space="preserve">  </w:t>
      </w:r>
      <w:r w:rsidR="002A04FF">
        <w:tab/>
      </w:r>
      <w:proofErr w:type="gramEnd"/>
      <w:r w:rsidR="002A04FF">
        <w:t>Athens</w:t>
      </w:r>
      <w:r>
        <w:t xml:space="preserve">, </w:t>
      </w:r>
      <w:r w:rsidR="002A04FF">
        <w:t>GR</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27C13" w14:textId="77777777" w:rsidR="00A82A05" w:rsidRDefault="00A82A05" w:rsidP="005332D7">
      <w:pPr>
        <w:spacing w:after="0"/>
      </w:pPr>
      <w:r>
        <w:separator/>
      </w:r>
    </w:p>
  </w:endnote>
  <w:endnote w:type="continuationSeparator" w:id="0">
    <w:p w14:paraId="2DCCCCF6" w14:textId="77777777" w:rsidR="00A82A05" w:rsidRDefault="00A82A05"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Liberation Sans">
    <w:altName w:val="宋体"/>
    <w:charset w:val="00"/>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02FDA" w14:textId="77777777" w:rsidR="00A82A05" w:rsidRDefault="00A82A05" w:rsidP="005332D7">
      <w:pPr>
        <w:spacing w:after="0"/>
      </w:pPr>
      <w:r>
        <w:separator/>
      </w:r>
    </w:p>
  </w:footnote>
  <w:footnote w:type="continuationSeparator" w:id="0">
    <w:p w14:paraId="06B63878" w14:textId="77777777" w:rsidR="00A82A05" w:rsidRDefault="00A82A05"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
  </w:num>
  <w:num w:numId="2">
    <w:abstractNumId w:val="1"/>
  </w:num>
  <w:num w:numId="3">
    <w:abstractNumId w:val="4"/>
  </w:num>
  <w:num w:numId="4">
    <w:abstractNumId w:val="5"/>
  </w:num>
  <w:num w:numId="5">
    <w:abstractNumId w:val="8"/>
  </w:num>
  <w:num w:numId="6">
    <w:abstractNumId w:val="2"/>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F71DC"/>
    <w:rsid w:val="00127B0F"/>
    <w:rsid w:val="002A04FF"/>
    <w:rsid w:val="002F6A59"/>
    <w:rsid w:val="00402E6D"/>
    <w:rsid w:val="005156DF"/>
    <w:rsid w:val="005332D7"/>
    <w:rsid w:val="005C39F7"/>
    <w:rsid w:val="006123C1"/>
    <w:rsid w:val="007A044E"/>
    <w:rsid w:val="007A5B73"/>
    <w:rsid w:val="0088127D"/>
    <w:rsid w:val="00897106"/>
    <w:rsid w:val="00A212CE"/>
    <w:rsid w:val="00A82A05"/>
    <w:rsid w:val="00AB1BB9"/>
    <w:rsid w:val="00B5259F"/>
    <w:rsid w:val="00C24C26"/>
    <w:rsid w:val="00D43497"/>
    <w:rsid w:val="00DC73A6"/>
    <w:rsid w:val="00DF5017"/>
    <w:rsid w:val="00E17674"/>
    <w:rsid w:val="00E23E79"/>
    <w:rsid w:val="00E85528"/>
    <w:rsid w:val="00ED684E"/>
    <w:rsid w:val="00F244A0"/>
    <w:rsid w:val="00F7783C"/>
    <w:rsid w:val="00FA7A5F"/>
    <w:rsid w:val="00FB1973"/>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OPPO</cp:lastModifiedBy>
  <cp:revision>6</cp:revision>
  <cp:lastPrinted>2002-04-23T07:10:00Z</cp:lastPrinted>
  <dcterms:created xsi:type="dcterms:W3CDTF">2024-07-17T06:32:00Z</dcterms:created>
  <dcterms:modified xsi:type="dcterms:W3CDTF">2024-08-09T09:08:00Z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